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A9" w:rsidRPr="00664EA9" w:rsidRDefault="00664EA9" w:rsidP="00664EA9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it-IT"/>
        </w:rPr>
      </w:pPr>
      <w:r w:rsidRPr="00664EA9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it-IT"/>
        </w:rPr>
        <w:t>Europa Creativa - Transettoriale: Bando Laboratorio per l’innovazione creativa  (CREA-CROSS-2021-INNOVLAB)</w:t>
      </w:r>
    </w:p>
    <w:p w:rsidR="00664EA9" w:rsidRPr="00664EA9" w:rsidRDefault="00664EA9" w:rsidP="00664EA9">
      <w:pPr>
        <w:shd w:val="clear" w:color="auto" w:fill="EFEFEF"/>
        <w:spacing w:before="18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it-IT"/>
        </w:rPr>
      </w:pPr>
      <w:r w:rsidRPr="00664EA9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it-IT"/>
        </w:rPr>
        <w:t>Titolo</w:t>
      </w:r>
    </w:p>
    <w:p w:rsidR="00664EA9" w:rsidRPr="00664EA9" w:rsidRDefault="00664EA9" w:rsidP="00664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it-IT"/>
        </w:rPr>
      </w:pPr>
      <w:r w:rsidRPr="00664EA9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it-IT"/>
        </w:rPr>
        <w:t>Creative Europe Programme (CREA) - Call for proposals Creative Innovation Lab (CREA-CROSS-2021-INNOVLAB)</w:t>
      </w:r>
    </w:p>
    <w:p w:rsidR="00664EA9" w:rsidRPr="00664EA9" w:rsidRDefault="00664EA9" w:rsidP="00664EA9">
      <w:pPr>
        <w:shd w:val="clear" w:color="auto" w:fill="EFEFEF"/>
        <w:spacing w:before="18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it-IT"/>
        </w:rPr>
      </w:pPr>
      <w:r w:rsidRPr="00664EA9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it-IT"/>
        </w:rPr>
        <w:t>Oggetto</w:t>
      </w:r>
    </w:p>
    <w:p w:rsidR="00664EA9" w:rsidRPr="00664EA9" w:rsidRDefault="00664EA9" w:rsidP="00664EA9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it-IT"/>
        </w:rPr>
      </w:pPr>
      <w:r w:rsidRPr="00664EA9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it-IT"/>
        </w:rPr>
        <w:t>Europa Creativa – Sezione Transettoriale: bando Laboratorio per l’innovazione creativa</w:t>
      </w:r>
    </w:p>
    <w:p w:rsidR="00664EA9" w:rsidRPr="00664EA9" w:rsidRDefault="00664EA9" w:rsidP="00664EA9">
      <w:pPr>
        <w:shd w:val="clear" w:color="auto" w:fill="EFEFEF"/>
        <w:spacing w:before="18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it-IT"/>
        </w:rPr>
      </w:pPr>
      <w:r w:rsidRPr="00664EA9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it-IT"/>
        </w:rPr>
        <w:t>Fonte</w:t>
      </w:r>
    </w:p>
    <w:p w:rsidR="00664EA9" w:rsidRPr="00664EA9" w:rsidRDefault="00664EA9" w:rsidP="00664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it-IT"/>
        </w:rPr>
      </w:pPr>
      <w:r w:rsidRPr="00664EA9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it-IT"/>
        </w:rPr>
        <w:t>Commissione europea - Funding &amp; Tender Portal del 8/6/2021</w:t>
      </w:r>
    </w:p>
    <w:p w:rsidR="00664EA9" w:rsidRPr="00664EA9" w:rsidRDefault="00664EA9" w:rsidP="00664EA9">
      <w:pPr>
        <w:shd w:val="clear" w:color="auto" w:fill="EFEFEF"/>
        <w:spacing w:before="18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it-IT"/>
        </w:rPr>
      </w:pPr>
      <w:r w:rsidRPr="00664EA9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it-IT"/>
        </w:rPr>
        <w:t>Ente Erogatore</w:t>
      </w:r>
    </w:p>
    <w:p w:rsidR="00664EA9" w:rsidRPr="00664EA9" w:rsidRDefault="00664EA9" w:rsidP="00664EA9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it-IT"/>
        </w:rPr>
      </w:pPr>
      <w:r w:rsidRPr="00664EA9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it-IT"/>
        </w:rPr>
        <w:t>Commissione europea</w:t>
      </w:r>
    </w:p>
    <w:p w:rsidR="00664EA9" w:rsidRPr="00664EA9" w:rsidRDefault="00664EA9" w:rsidP="00664EA9">
      <w:pPr>
        <w:shd w:val="clear" w:color="auto" w:fill="EFEFEF"/>
        <w:spacing w:before="18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it-IT"/>
        </w:rPr>
      </w:pPr>
      <w:r w:rsidRPr="00664EA9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it-IT"/>
        </w:rPr>
        <w:t>Azioni</w:t>
      </w:r>
    </w:p>
    <w:p w:rsidR="00664EA9" w:rsidRPr="00664EA9" w:rsidRDefault="00664EA9" w:rsidP="00664EA9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it-IT"/>
        </w:rPr>
      </w:pPr>
      <w:r w:rsidRPr="00664EA9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it-IT"/>
        </w:rPr>
        <w:t>Sostegno a progetti inerenti l’azione Laboratorio per l’innovazione creativa. L’azione incoraggia gli attori dei settori culturali e creativi a ideare e testare soluzioni digitali innovative aventi un potenziale impatto positivo a lungo termine su più settori culturali e creativi. Punta a facilitare la creazione di soluzioni innovative applicabili al settore audiovisivo e ad almeno un altro settore della cultura e creatività. Le soluzioni dovrebbero essere facilmente replicabili e avere un potenziale di penetrazione nel mercato. Quest’anno l’azione intende anche prestare attenzione a due temi: rendere più ecologici i settori culturali e creativi; strumenti educativi innovativi che utilizzano la creatività e i settori creativi per affrontare questioni sociali rilevanti, come la disinformazione.</w:t>
      </w:r>
    </w:p>
    <w:p w:rsidR="00664EA9" w:rsidRPr="00664EA9" w:rsidRDefault="00664EA9" w:rsidP="00664EA9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it-IT"/>
        </w:rPr>
      </w:pPr>
      <w:r w:rsidRPr="00664EA9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it-IT"/>
        </w:rPr>
        <w:t>Pertanto si intende finanziare progetti per l'</w:t>
      </w:r>
      <w:r w:rsidRPr="00664EA9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it-IT"/>
        </w:rPr>
        <w:t>ideazione</w:t>
      </w:r>
      <w:r w:rsidRPr="00664EA9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it-IT"/>
        </w:rPr>
        <w:t>, lo </w:t>
      </w:r>
      <w:r w:rsidRPr="00664EA9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it-IT"/>
        </w:rPr>
        <w:t>sviluppo </w:t>
      </w:r>
      <w:r w:rsidRPr="00664EA9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it-IT"/>
        </w:rPr>
        <w:t>e la </w:t>
      </w:r>
      <w:r w:rsidRPr="00664EA9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it-IT"/>
        </w:rPr>
        <w:t>sperimentazione di strumenti</w:t>
      </w:r>
      <w:r w:rsidRPr="00664EA9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it-IT"/>
        </w:rPr>
        <w:t>, </w:t>
      </w:r>
      <w:r w:rsidRPr="00664EA9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it-IT"/>
        </w:rPr>
        <w:t>modelli e soluzioni innovativi applicabili nel settore audiovisivo e in altri settori culturali e creativi </w:t>
      </w:r>
      <w:r w:rsidRPr="00664EA9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it-IT"/>
        </w:rPr>
        <w:t>e con elevato </w:t>
      </w:r>
      <w:r w:rsidRPr="00664EA9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it-IT"/>
        </w:rPr>
        <w:t>potenziale di replicabilità</w:t>
      </w:r>
      <w:r w:rsidRPr="00664EA9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it-IT"/>
        </w:rPr>
        <w:t> in questi settori. Tali strumenti, modelli e soluzioni mirano a favorire la competitività, la cooperazione, la circolazione, la visibilità, la disponibilità, la diversità e l'incremento del pubblico in tutti i settori. I progetti possono concentrarsi in particolare su:</w:t>
      </w:r>
      <w:r w:rsidRPr="00664EA9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it-IT"/>
        </w:rPr>
        <w:br/>
        <w:t>- gestione e monetizzazione dei diritti, compresa la trasparenza e l'equa remunerazione;</w:t>
      </w:r>
      <w:r w:rsidRPr="00664EA9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it-IT"/>
        </w:rPr>
        <w:br/>
        <w:t>- raccolta e analisi di dati, con particolare attenzione sulle previsioni per la creazione di contenuti e lo sviluppo del pubblico;</w:t>
      </w:r>
      <w:r w:rsidRPr="00664EA9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it-IT"/>
        </w:rPr>
        <w:br/>
        <w:t>- rendere più ecologica la catena del valore nei settori creativi e culturali, comprese azioni che contribuiscono al Nuovo Bauhaus europeo;</w:t>
      </w:r>
      <w:r w:rsidRPr="00664EA9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it-IT"/>
        </w:rPr>
        <w:br/>
      </w:r>
      <w:r w:rsidRPr="00664EA9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it-IT"/>
        </w:rPr>
        <w:lastRenderedPageBreak/>
        <w:t>- strumenti e contenuti educativi innovativi che utilizzano la creatività e i settori creativi per affrontare questioni sociali come la disinformazione, le fake news, ecc.</w:t>
      </w:r>
    </w:p>
    <w:p w:rsidR="00664EA9" w:rsidRPr="00664EA9" w:rsidRDefault="00664EA9" w:rsidP="00664EA9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it-IT"/>
        </w:rPr>
      </w:pPr>
      <w:r w:rsidRPr="00664EA9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it-IT"/>
        </w:rPr>
        <w:t>I progetti proposti devono avere una durata massima di 24 mesi.</w:t>
      </w:r>
    </w:p>
    <w:p w:rsidR="00664EA9" w:rsidRPr="00664EA9" w:rsidRDefault="00664EA9" w:rsidP="00664EA9">
      <w:pPr>
        <w:shd w:val="clear" w:color="auto" w:fill="EFEFEF"/>
        <w:spacing w:before="18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it-IT"/>
        </w:rPr>
      </w:pPr>
      <w:r w:rsidRPr="00664EA9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it-IT"/>
        </w:rPr>
        <w:t>Beneficiari</w:t>
      </w:r>
    </w:p>
    <w:p w:rsidR="00664EA9" w:rsidRPr="00664EA9" w:rsidRDefault="00664EA9" w:rsidP="00664EA9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it-IT"/>
        </w:rPr>
      </w:pPr>
      <w:r w:rsidRPr="00664EA9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it-IT"/>
        </w:rPr>
        <w:t>Persone giuridiche, pubbliche e private, stabilite in uno dei Paesi ammissibili ad Europa Creativa. Tali Paesi sono: Stati UE, compresi PTOM; Paesi EFTA/SEE e altri Paesi terzi associati al programma come indicato in questo </w:t>
      </w:r>
      <w:hyperlink r:id="rId4" w:history="1">
        <w:r w:rsidRPr="00664EA9">
          <w:rPr>
            <w:rFonts w:ascii="Times New Roman" w:eastAsia="Times New Roman" w:hAnsi="Times New Roman" w:cs="Times New Roman"/>
            <w:color w:val="244061" w:themeColor="accent1" w:themeShade="80"/>
            <w:sz w:val="28"/>
            <w:szCs w:val="28"/>
            <w:u w:val="single"/>
            <w:lang w:eastAsia="it-IT"/>
          </w:rPr>
          <w:t>documento</w:t>
        </w:r>
      </w:hyperlink>
      <w:r w:rsidRPr="00664EA9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it-IT"/>
        </w:rPr>
        <w:t>.</w:t>
      </w:r>
    </w:p>
    <w:p w:rsidR="00664EA9" w:rsidRPr="00664EA9" w:rsidRDefault="00664EA9" w:rsidP="00664EA9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it-IT"/>
        </w:rPr>
      </w:pPr>
      <w:r w:rsidRPr="00664EA9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it-IT"/>
        </w:rPr>
        <w:t>Il bando è aperto anche ad organizzazioni internazionali.</w:t>
      </w:r>
    </w:p>
    <w:p w:rsidR="00664EA9" w:rsidRPr="00664EA9" w:rsidRDefault="00664EA9" w:rsidP="00664EA9">
      <w:pPr>
        <w:shd w:val="clear" w:color="auto" w:fill="EFEFEF"/>
        <w:spacing w:before="18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it-IT"/>
        </w:rPr>
      </w:pPr>
      <w:r w:rsidRPr="00664EA9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it-IT"/>
        </w:rPr>
        <w:t>Entità Contributo</w:t>
      </w:r>
    </w:p>
    <w:p w:rsidR="00664EA9" w:rsidRPr="00664EA9" w:rsidRDefault="00664EA9" w:rsidP="00664EA9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it-IT"/>
        </w:rPr>
      </w:pPr>
      <w:r w:rsidRPr="00664EA9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it-IT"/>
        </w:rPr>
        <w:t>Il contributo UE può coprire il </w:t>
      </w:r>
      <w:r w:rsidRPr="00664EA9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it-IT"/>
        </w:rPr>
        <w:t>60%</w:t>
      </w:r>
      <w:r w:rsidRPr="00664EA9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it-IT"/>
        </w:rPr>
        <w:t> dei costi del progetto (solo i costi ammissibili ed effettivamente sostenuti).</w:t>
      </w:r>
    </w:p>
    <w:p w:rsidR="00664EA9" w:rsidRPr="00664EA9" w:rsidRDefault="00664EA9" w:rsidP="00664EA9">
      <w:pPr>
        <w:shd w:val="clear" w:color="auto" w:fill="EFEFEF"/>
        <w:spacing w:before="18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it-IT"/>
        </w:rPr>
      </w:pPr>
      <w:r w:rsidRPr="00664EA9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it-IT"/>
        </w:rPr>
        <w:t>Modalità e procedura</w:t>
      </w:r>
    </w:p>
    <w:p w:rsidR="00664EA9" w:rsidRPr="00664EA9" w:rsidRDefault="00664EA9" w:rsidP="00664EA9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it-IT"/>
        </w:rPr>
      </w:pPr>
      <w:r w:rsidRPr="00664EA9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it-IT"/>
        </w:rPr>
        <w:t>I progetti devono essere presentati da un consorzio costituito da </w:t>
      </w:r>
      <w:r w:rsidRPr="00664EA9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it-IT"/>
        </w:rPr>
        <w:t>almeno tre soggetti di almeno due diversi Paesi ammissibili</w:t>
      </w:r>
      <w:r w:rsidRPr="00664EA9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it-IT"/>
        </w:rPr>
        <w:t> ad Europa Creativa. Il consorzio deve presentare una gamma diversificata di conoscenze in diversi settori culturali e creativi, compreso l'audiovisivo.</w:t>
      </w:r>
    </w:p>
    <w:p w:rsidR="00664EA9" w:rsidRPr="00664EA9" w:rsidRDefault="00664EA9" w:rsidP="00664EA9">
      <w:pPr>
        <w:shd w:val="clear" w:color="auto" w:fill="EFEFEF"/>
        <w:spacing w:before="18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it-IT"/>
        </w:rPr>
      </w:pPr>
      <w:r w:rsidRPr="00664EA9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it-IT"/>
        </w:rPr>
        <w:t>Scadenza</w:t>
      </w:r>
    </w:p>
    <w:p w:rsidR="00664EA9" w:rsidRPr="00664EA9" w:rsidRDefault="00664EA9" w:rsidP="00664EA9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it-IT"/>
        </w:rPr>
      </w:pPr>
      <w:r w:rsidRPr="00664EA9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it-IT"/>
        </w:rPr>
        <w:t>5 ottobre 2021</w:t>
      </w:r>
      <w:r w:rsidRPr="00664EA9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it-IT"/>
        </w:rPr>
        <w:t>, </w:t>
      </w:r>
      <w:r w:rsidRPr="00664EA9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it-IT"/>
        </w:rPr>
        <w:t>ore 17 </w:t>
      </w:r>
      <w:r w:rsidRPr="00664EA9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it-IT"/>
        </w:rPr>
        <w:t>(ora di Bruxelles)</w:t>
      </w:r>
    </w:p>
    <w:p w:rsidR="00664EA9" w:rsidRPr="00664EA9" w:rsidRDefault="00664EA9" w:rsidP="00664EA9">
      <w:pPr>
        <w:shd w:val="clear" w:color="auto" w:fill="EFEFEF"/>
        <w:spacing w:before="18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it-IT"/>
        </w:rPr>
      </w:pPr>
      <w:r w:rsidRPr="00664EA9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it-IT"/>
        </w:rPr>
        <w:t>Referente</w:t>
      </w:r>
    </w:p>
    <w:p w:rsidR="00664EA9" w:rsidRPr="00664EA9" w:rsidRDefault="00664EA9" w:rsidP="00664EA9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it-IT"/>
        </w:rPr>
      </w:pPr>
      <w:r w:rsidRPr="00664EA9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it-IT"/>
        </w:rPr>
        <w:t>Agenzia esecutiva europea per l’istruzione e la cultura (EACEA)</w:t>
      </w:r>
    </w:p>
    <w:p w:rsidR="00664EA9" w:rsidRPr="00664EA9" w:rsidRDefault="00664EA9" w:rsidP="00664EA9">
      <w:pPr>
        <w:shd w:val="clear" w:color="auto" w:fill="EFEFEF"/>
        <w:spacing w:before="18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it-IT"/>
        </w:rPr>
      </w:pPr>
      <w:r w:rsidRPr="00664EA9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it-IT"/>
        </w:rPr>
        <w:t>Risorse finanziarie disponibili</w:t>
      </w:r>
    </w:p>
    <w:p w:rsidR="00664EA9" w:rsidRPr="00664EA9" w:rsidRDefault="00664EA9" w:rsidP="00664EA9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it-IT"/>
        </w:rPr>
      </w:pPr>
      <w:r w:rsidRPr="00664EA9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it-IT"/>
        </w:rPr>
        <w:t>6.320.000 €</w:t>
      </w:r>
    </w:p>
    <w:p w:rsidR="00664EA9" w:rsidRPr="00664EA9" w:rsidRDefault="00664EA9" w:rsidP="00664EA9">
      <w:pPr>
        <w:shd w:val="clear" w:color="auto" w:fill="C7E1F1"/>
        <w:spacing w:before="18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it-IT"/>
        </w:rPr>
      </w:pPr>
      <w:r w:rsidRPr="00664EA9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it-IT"/>
        </w:rPr>
        <w:t>Aree Geografiche</w:t>
      </w:r>
    </w:p>
    <w:p w:rsidR="00664EA9" w:rsidRPr="00664EA9" w:rsidRDefault="00664EA9" w:rsidP="00664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it-IT"/>
        </w:rPr>
      </w:pPr>
      <w:r w:rsidRPr="00664EA9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it-IT"/>
        </w:rPr>
        <w:t>UE 27 (post Brexit)</w:t>
      </w:r>
      <w:r w:rsidRPr="00664EA9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it-IT"/>
        </w:rPr>
        <w:t> - Austria, Belgio, Bulgaria, Cechia, Cipro, Croazia, Danimarca, Estonia, Finlandia, Francia, Germania, Grecia, Irlanda, Italia, Lettonia, Lituania, Lussemburgo, Malta, Olanda, Polonia, Portogallo, Romania, Slovacchia, Slovenia, Spagna, Svezia, Ungheria.</w:t>
      </w:r>
      <w:r w:rsidRPr="00664EA9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it-IT"/>
        </w:rPr>
        <w:br/>
      </w:r>
      <w:r w:rsidRPr="00664EA9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it-IT"/>
        </w:rPr>
        <w:br/>
      </w:r>
      <w:r w:rsidRPr="00664EA9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it-IT"/>
        </w:rPr>
        <w:t>PTOM </w:t>
      </w:r>
      <w:r w:rsidRPr="00664EA9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it-IT"/>
        </w:rPr>
        <w:t>- Paesi e Territori d'Oltremare: Paesi, territori e collettività che non sono sovrani ma dipendono in misura diversa dai tre Stati membri con i quali mantengono legami speciali, ovvero 1.Olanda: Aruba, Bonaire, Curaçao, Saba, Sint Eustatius, Sint Maarten; 2. Francia: Nuova Caledonia, Polinesia francese, Terre australi e antartiche francesi, Isole di Wallis e Futuna, Saint Pierre e Miquelon, Saint Barthélemy; 3. Danimarca: Groenlandia</w:t>
      </w:r>
    </w:p>
    <w:p w:rsidR="006B7E45" w:rsidRPr="00664EA9" w:rsidRDefault="006B7E45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sectPr w:rsidR="006B7E45" w:rsidRPr="00664EA9" w:rsidSect="006B7E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664EA9"/>
    <w:rsid w:val="00664EA9"/>
    <w:rsid w:val="006B7E45"/>
    <w:rsid w:val="00BD3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7E45"/>
  </w:style>
  <w:style w:type="paragraph" w:styleId="Titolo3">
    <w:name w:val="heading 3"/>
    <w:basedOn w:val="Normale"/>
    <w:link w:val="Titolo3Carattere"/>
    <w:uiPriority w:val="9"/>
    <w:qFormat/>
    <w:rsid w:val="00664E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664EA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64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64EA9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64E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.europa.eu/info/funding-tenders/opportunities/docs/2021-2027/crea/guidance/list-3rd-country-participation_crea_en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2021-09-01T20:14:00Z</dcterms:created>
  <dcterms:modified xsi:type="dcterms:W3CDTF">2021-09-01T20:15:00Z</dcterms:modified>
</cp:coreProperties>
</file>